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>Учреждения социального обслуживания</w:t>
      </w:r>
    </w:p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города </w:t>
      </w:r>
      <w:r w:rsidRPr="00EF7728">
        <w:rPr>
          <w:b/>
          <w:sz w:val="52"/>
          <w:szCs w:val="52"/>
        </w:rPr>
        <w:t>Сургут</w:t>
      </w:r>
      <w:r>
        <w:rPr>
          <w:b/>
          <w:sz w:val="52"/>
          <w:szCs w:val="52"/>
        </w:rPr>
        <w:t>а</w:t>
      </w:r>
      <w:r w:rsidR="00830E04">
        <w:rPr>
          <w:b/>
          <w:sz w:val="52"/>
          <w:szCs w:val="52"/>
        </w:rPr>
        <w:t xml:space="preserve"> и </w:t>
      </w:r>
      <w:proofErr w:type="spellStart"/>
      <w:r w:rsidR="00830E04">
        <w:rPr>
          <w:b/>
          <w:sz w:val="52"/>
          <w:szCs w:val="52"/>
        </w:rPr>
        <w:t>Сургутского</w:t>
      </w:r>
      <w:proofErr w:type="spellEnd"/>
      <w:r w:rsidR="00830E04">
        <w:rPr>
          <w:b/>
          <w:sz w:val="52"/>
          <w:szCs w:val="52"/>
        </w:rPr>
        <w:t xml:space="preserve"> района</w:t>
      </w:r>
      <w:r>
        <w:rPr>
          <w:b/>
          <w:sz w:val="52"/>
          <w:szCs w:val="52"/>
        </w:rPr>
        <w:t xml:space="preserve">, </w:t>
      </w:r>
    </w:p>
    <w:p w:rsidR="001441F6" w:rsidRDefault="001441F6" w:rsidP="00830E04">
      <w:pPr>
        <w:spacing w:after="0" w:line="240" w:lineRule="auto"/>
        <w:jc w:val="center"/>
        <w:rPr>
          <w:b/>
          <w:sz w:val="52"/>
        </w:rPr>
      </w:pPr>
      <w:r w:rsidRPr="00EE4BF1">
        <w:rPr>
          <w:b/>
          <w:sz w:val="52"/>
        </w:rPr>
        <w:t xml:space="preserve">предоставляющие </w:t>
      </w:r>
      <w:r>
        <w:rPr>
          <w:b/>
          <w:sz w:val="52"/>
        </w:rPr>
        <w:t xml:space="preserve">социальные </w:t>
      </w:r>
      <w:r w:rsidRPr="00EE4BF1">
        <w:rPr>
          <w:b/>
          <w:sz w:val="52"/>
        </w:rPr>
        <w:t>услуги населению</w:t>
      </w:r>
    </w:p>
    <w:p w:rsidR="00830E04" w:rsidRPr="001441F6" w:rsidRDefault="00830E04" w:rsidP="00830E04">
      <w:pPr>
        <w:spacing w:after="0" w:line="240" w:lineRule="auto"/>
        <w:jc w:val="center"/>
        <w:rPr>
          <w:b/>
          <w:sz w:val="5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9"/>
        <w:gridCol w:w="11498"/>
      </w:tblGrid>
      <w:tr w:rsidR="001441F6" w:rsidRPr="000D3DD7" w:rsidTr="00FB5A9D">
        <w:trPr>
          <w:trHeight w:val="4210"/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Югры</w:t>
            </w:r>
            <w:proofErr w:type="spellEnd"/>
          </w:p>
          <w:p w:rsidR="00830E04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«Комплексный центр социального обслуживания населения</w:t>
            </w:r>
          </w:p>
          <w:p w:rsidR="001441F6" w:rsidRPr="00974FB9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«Городская социальная служба»</w:t>
            </w:r>
          </w:p>
          <w:p w:rsidR="001441F6" w:rsidRPr="000D3DD7" w:rsidRDefault="001441F6" w:rsidP="007136DB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директор: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Чочова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Наталья Борисовна</w:t>
            </w:r>
          </w:p>
          <w:p w:rsidR="001441F6" w:rsidRDefault="001441F6" w:rsidP="007136DB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z w:val="32"/>
                <w:szCs w:val="32"/>
                <w:lang w:eastAsia="ru-RU"/>
              </w:rPr>
              <w:t>62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8400, Ханты – Мансийский автономный округ – Югра,</w:t>
            </w:r>
          </w:p>
          <w:p w:rsidR="001441F6" w:rsidRPr="000D3DD7" w:rsidRDefault="001441F6" w:rsidP="007136DB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г. Сургут, ул. Лермонтова, 3/1.</w:t>
            </w:r>
          </w:p>
          <w:p w:rsidR="001441F6" w:rsidRPr="000D3DD7" w:rsidRDefault="001441F6" w:rsidP="007136DB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522-500,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522-524</w:t>
            </w:r>
          </w:p>
          <w:p w:rsidR="001441F6" w:rsidRPr="000D3DD7" w:rsidRDefault="001441F6" w:rsidP="007136DB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6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GSS@dtsznhmao.ru</w:t>
              </w:r>
            </w:hyperlink>
          </w:p>
          <w:p w:rsidR="00830E04" w:rsidRPr="00830E04" w:rsidRDefault="00830E04" w:rsidP="00830E04">
            <w:pPr>
              <w:spacing w:before="100" w:beforeAutospacing="1" w:after="100" w:afterAutospacing="1" w:line="180" w:lineRule="auto"/>
              <w:jc w:val="center"/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Официальный с</w:t>
            </w:r>
            <w:r w:rsidR="001441F6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айт учреждения: </w:t>
            </w:r>
            <w:hyperlink r:id="rId7" w:history="1">
              <w:r w:rsidR="001441F6"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www.socslugba.ru</w:t>
              </w:r>
            </w:hyperlink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другие граждане, попавшие в экстремальную жизненную ситуацию;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женщины старше 18 лет, (в том числе с несовершеннолетними детьми), оказавшиеся в </w:t>
            </w:r>
            <w:r w:rsidRPr="007136DB">
              <w:rPr>
                <w:rFonts w:eastAsia="Times New Roman"/>
                <w:lang w:eastAsia="ru-RU"/>
              </w:rPr>
              <w:lastRenderedPageBreak/>
              <w:t>трудной жизненной ситуации;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специализированные отделения социально-медицинского обслуживания на дому граждан пожилого возраста и инвалидов № 1, 2, 3;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социального обслуживания на дому граждан пожилого возраста и инвалидов № 1, 2;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социально-реабилитационные отделения граждан пожилого возраста и инвалидов № 1, 2;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срочного социального обслуживания;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консультативное отделение;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социально-бытовых услуг;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кризисное отделение для женщин, оказавшихся в трудной жизненной ситуации;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реабилитации инвалидов по зрению</w:t>
            </w:r>
            <w:r w:rsidR="00FB5A9D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выявление, совместно с государственными и муниципальными органами, общественными  и религиозными организациями и объединениями граждан, нуждающихся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определение конкретных форм помощи, периодичности ее предоставления гражданам, нуждающимся в социальном обслуживании, исходя из состояния их здоровья и </w:t>
            </w:r>
            <w:proofErr w:type="gramStart"/>
            <w:r w:rsidRPr="007136DB">
              <w:rPr>
                <w:rFonts w:eastAsia="Times New Roman"/>
                <w:lang w:eastAsia="ru-RU"/>
              </w:rPr>
              <w:t>возможности  к самообслуживанию</w:t>
            </w:r>
            <w:proofErr w:type="gramEnd"/>
            <w:r w:rsidRPr="007136DB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предоставление комплекса социальных услуг постоянного, временного или разового характера, в соответствии с перечнем гарантированных государством социальных услуг гражданам, нуждающимся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внедрение в практику новых форм социального обслуживания в зависимости от характера нуждаемости граждан;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привлечение государственных, муниципальных и негосударственных структур к решению вопросов оказания социальной поддержки гражданам, и координация их деятельности в этом направлении.</w:t>
            </w:r>
          </w:p>
        </w:tc>
      </w:tr>
    </w:tbl>
    <w:p w:rsidR="00CB1B98" w:rsidRDefault="00CB1B9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CB1B98" w:rsidRPr="000D3DD7" w:rsidTr="00830E04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830E04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ансийского автономного округа </w:t>
            </w:r>
            <w:r w:rsidR="00CB1B98"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Югры</w:t>
            </w:r>
            <w:proofErr w:type="spellEnd"/>
          </w:p>
          <w:p w:rsidR="00CB1B98" w:rsidRPr="00A147D5" w:rsidRDefault="00CB1B98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«Комплексный центр социального обслуживания населения «Содействие»</w:t>
            </w:r>
          </w:p>
          <w:p w:rsidR="00CB1B98" w:rsidRPr="000D3DD7" w:rsidRDefault="00CB1B9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директор: </w:t>
            </w:r>
            <w:r w:rsidR="00830E04">
              <w:rPr>
                <w:rFonts w:eastAsia="Times New Roman"/>
                <w:sz w:val="32"/>
                <w:szCs w:val="32"/>
                <w:lang w:eastAsia="ru-RU"/>
              </w:rPr>
              <w:t>Соколова Елена Валерьевна</w:t>
            </w:r>
          </w:p>
          <w:p w:rsidR="00CB1B98" w:rsidRPr="000D3DD7" w:rsidRDefault="00CB1B9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b/>
                <w:sz w:val="32"/>
                <w:szCs w:val="32"/>
                <w:lang w:eastAsia="ru-RU"/>
              </w:rPr>
              <w:t>Юридический адрес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Российская Федерация, 628433 Ханты-Мансийский автономный округ - Югра, Тюменская область, Сургутский район,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.п. Белый Яр, ул.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Лесная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, д. 20/1.</w:t>
            </w:r>
          </w:p>
          <w:p w:rsidR="00CB1B98" w:rsidRPr="000D3DD7" w:rsidRDefault="00CB1B9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b/>
                <w:sz w:val="32"/>
                <w:szCs w:val="32"/>
                <w:lang w:eastAsia="ru-RU"/>
              </w:rPr>
              <w:t>Фактический адрес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Российская Федерация, 628433 Ханты-Мансийский автономный округ - Югра, Тюменская область, Сургутский район,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.п. Барсово, ул. Сосновый Бор, д. 34/1.</w:t>
            </w:r>
          </w:p>
          <w:p w:rsidR="00CB1B98" w:rsidRPr="000D3DD7" w:rsidRDefault="00CB1B9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740-424,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(3462) 740-916.</w:t>
            </w:r>
          </w:p>
          <w:p w:rsidR="00CB1B98" w:rsidRPr="000D3DD7" w:rsidRDefault="00CB1B9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8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sodeistvie@dtsznhmao.ru</w:t>
              </w:r>
            </w:hyperlink>
          </w:p>
          <w:p w:rsidR="00830E04" w:rsidRPr="000D3DD7" w:rsidRDefault="00CB1B98" w:rsidP="00241487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Официальный сайт учреждения: </w:t>
            </w:r>
            <w:hyperlink r:id="rId9" w:history="1">
              <w:r w:rsidR="00830E04" w:rsidRPr="00EA325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http://sodeistvie86.ru</w:t>
              </w:r>
            </w:hyperlink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труда;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реабилитированные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репрессированные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участники трудового фронта;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и инвалиды, участники ВОВ;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безработный /малообеспеченный (трудоспособный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lastRenderedPageBreak/>
              <w:t>другие граждане, попавшие в экстремальную жизненную ситуацию;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семьи, попавшие в трудную жизненную ситуацию: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малообеспеченная семья (семья, среднедушевой доход которой, не достигает прожиточного минимума, установленного в субъекте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неполная семья (семья, в которой детей или ребенка воспитывает один из родителей);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многодетная семья (семья,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одинокая мать (мать, воспитывающая одна, без отца, одного или более детей).</w:t>
            </w:r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консультативное отделение;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  <w:p w:rsidR="00CB1B98" w:rsidRPr="007136DB" w:rsidRDefault="00CB1B98" w:rsidP="00830E04">
            <w:pPr>
              <w:spacing w:after="0" w:line="240" w:lineRule="auto"/>
              <w:ind w:firstLine="334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В филиалах </w:t>
            </w:r>
            <w:proofErr w:type="gramStart"/>
            <w:r w:rsidRPr="007136DB">
              <w:rPr>
                <w:rFonts w:eastAsia="Times New Roman"/>
                <w:lang w:eastAsia="ru-RU"/>
              </w:rPr>
              <w:t>г</w:t>
            </w:r>
            <w:proofErr w:type="gramEnd"/>
            <w:r w:rsidRPr="007136DB">
              <w:rPr>
                <w:rFonts w:eastAsia="Times New Roman"/>
                <w:lang w:eastAsia="ru-RU"/>
              </w:rPr>
              <w:t xml:space="preserve">.п. Белый Яр, </w:t>
            </w:r>
            <w:proofErr w:type="gramStart"/>
            <w:r w:rsidRPr="007136DB">
              <w:rPr>
                <w:rFonts w:eastAsia="Times New Roman"/>
                <w:lang w:eastAsia="ru-RU"/>
              </w:rPr>
              <w:t>г</w:t>
            </w:r>
            <w:proofErr w:type="gramEnd"/>
            <w:r w:rsidRPr="007136DB">
              <w:rPr>
                <w:rFonts w:eastAsia="Times New Roman"/>
                <w:lang w:eastAsia="ru-RU"/>
              </w:rPr>
              <w:t xml:space="preserve">.п. Федоровский, </w:t>
            </w:r>
            <w:proofErr w:type="gramStart"/>
            <w:r w:rsidRPr="007136DB">
              <w:rPr>
                <w:rFonts w:eastAsia="Times New Roman"/>
                <w:lang w:eastAsia="ru-RU"/>
              </w:rPr>
              <w:t>г</w:t>
            </w:r>
            <w:proofErr w:type="gramEnd"/>
            <w:r w:rsidRPr="007136DB">
              <w:rPr>
                <w:rFonts w:eastAsia="Times New Roman"/>
                <w:lang w:eastAsia="ru-RU"/>
              </w:rPr>
              <w:t xml:space="preserve">.п. </w:t>
            </w:r>
            <w:proofErr w:type="spellStart"/>
            <w:r w:rsidRPr="007136DB">
              <w:rPr>
                <w:rFonts w:eastAsia="Times New Roman"/>
                <w:lang w:eastAsia="ru-RU"/>
              </w:rPr>
              <w:t>Лянтор</w:t>
            </w:r>
            <w:proofErr w:type="spellEnd"/>
            <w:r w:rsidRPr="007136DB">
              <w:rPr>
                <w:rFonts w:eastAsia="Times New Roman"/>
                <w:lang w:eastAsia="ru-RU"/>
              </w:rPr>
              <w:t xml:space="preserve"> функционируют отделения:</w:t>
            </w:r>
          </w:p>
          <w:p w:rsidR="00CB1B98" w:rsidRPr="007136DB" w:rsidRDefault="00CB1B98" w:rsidP="00830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социально-реабилитационные отделения для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социального обслуживания на дому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срочного социального обслуживания (служба «Социальный патруль», служба «Социальное такси», пункт проката технических средств реабилитации, пункт приема и выдачи срочной социальной помощи, Мобильная социальная служба);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отделение для граждан пожилого возраста и инвалидов  «Милосердие» (30 койко-мест) в филиале </w:t>
            </w:r>
            <w:proofErr w:type="gramStart"/>
            <w:r w:rsidRPr="007136DB">
              <w:rPr>
                <w:rFonts w:eastAsia="Times New Roman"/>
                <w:lang w:eastAsia="ru-RU"/>
              </w:rPr>
              <w:t>г</w:t>
            </w:r>
            <w:proofErr w:type="gramEnd"/>
            <w:r w:rsidRPr="007136DB">
              <w:rPr>
                <w:rFonts w:eastAsia="Times New Roman"/>
                <w:lang w:eastAsia="ru-RU"/>
              </w:rPr>
              <w:t>.п. Федоровский.</w:t>
            </w:r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ind w:firstLine="334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Удовлетворение потребности общества в оказании семьям и отдельным категориям граждан, попавшим в трудную жизненную ситуацию, помощи в реализации законных прав и интересов, срочной социальной помощи, содействие в улучшении их социального и материального положения, а также психологического статуса, предоставление социальных услуг.</w:t>
            </w:r>
          </w:p>
        </w:tc>
      </w:tr>
    </w:tbl>
    <w:p w:rsidR="00CB1B98" w:rsidRDefault="00CB1B9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D73EB7" w:rsidRPr="000D3DD7" w:rsidTr="007136DB">
        <w:trPr>
          <w:trHeight w:val="4366"/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974FB9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Ханты-Мансийского автономного округа – Югры</w:t>
            </w:r>
            <w:r w:rsidR="007136DB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    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«Геронтологический центр»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директор: Чирков Андрей Иванович</w:t>
            </w:r>
          </w:p>
          <w:p w:rsidR="00D73EB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округ – Югра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Снежный,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ул.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д.4,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747-844,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747-843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0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Gerontologia@dtsznhmao.ru</w:t>
              </w:r>
            </w:hyperlink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1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www.gerontologia.surgut.ru</w:t>
              </w:r>
            </w:hyperlink>
          </w:p>
        </w:tc>
      </w:tr>
      <w:tr w:rsidR="00D73EB7" w:rsidRPr="000D3DD7" w:rsidTr="00241487">
        <w:trPr>
          <w:trHeight w:val="1396"/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6DB" w:rsidRPr="007136DB" w:rsidRDefault="007136DB" w:rsidP="007136DB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D73EB7" w:rsidRPr="007136DB" w:rsidRDefault="00D73EB7" w:rsidP="00D73EB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(мужчины старше 60 лет, женщины старше 55 лет), частично или полностью утратившие способность к самообслуживанию и нуждающиеся по состоянию здоровья в постороннем уходе и наблюдении.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«Активное долголетие» (предназначено для стационарного социального обслуживания граждан пожилого возраста, способных к самообслуживанию);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«Милосердие №1», «Милосердие №2» (предназначены для стационарного социального обслуживания граждан пожилого возраста с ограниченными возможностями в самообслуживании);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«Милосердие №3» (предназначено для стационарного социального обслуживания граждан пожилого возраста, полностью утративших способность к самообслуживанию и нуждающихся по состоянию здоровья в постоянном постороннем уходе и наблюдении);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геронтопсихиатрическое отделение (предназначено для социального обслуживания пожилых граждан, имеющих в результате возрастных изменений психические расстройства в сочетании с множественной соматической патологией и нуждающихся </w:t>
            </w:r>
            <w:r w:rsidRPr="007136DB">
              <w:rPr>
                <w:rFonts w:eastAsia="Times New Roman"/>
                <w:lang w:eastAsia="ru-RU"/>
              </w:rPr>
              <w:lastRenderedPageBreak/>
              <w:t>в посторонней помощи в связи с частичной или полной утратой возможности самостоятельно удовлетворять свои жизненные потребности);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социально-реабилитационное отделение (предназначено для оздоровления граждан пожилого возраста и инвалидов по курсовкам, путевкам (сроком 16, 21 день), предоставления социально-медицинских услуг в целях поддержания и улучшения состояния здоровья граждан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социально-медицинское отделение (предназначено для оказания квалифицированного медицинского консультирования, экстренной и плановой медицинской помощи, организации медицинской реабилитации для пожилых граждан);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 (предназначено для проведения анализа, прогнозирования и выработки предложений по совершенствованию оказания социальных услуг гражданам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приемно-консультативное отделение (осуществляет прием граждан и консультирование по вопросам стационарного социального обслуживания населения).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оказание социально-бытовых, социально-медицинских, социально-психологических, социально-педагогических, социально-экономических, социально-правовых услуг клиентам;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 потенциальных клиентов, создание базы данных о них;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научно-исследовательская деятельность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разработка методических и информационных материалов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научные, культурные спортивные и другие мероприятия, способствующие повышению эффективности социального обслуживания клиентов</w:t>
            </w:r>
            <w:r w:rsidR="00FB5A9D">
              <w:rPr>
                <w:rFonts w:eastAsia="Times New Roman"/>
                <w:lang w:eastAsia="ru-RU"/>
              </w:rPr>
              <w:t>.</w:t>
            </w:r>
            <w:r w:rsidRPr="007136DB">
              <w:rPr>
                <w:rFonts w:eastAsia="Times New Roman"/>
                <w:lang w:eastAsia="ru-RU"/>
              </w:rPr>
              <w:t> </w:t>
            </w:r>
          </w:p>
        </w:tc>
      </w:tr>
    </w:tbl>
    <w:p w:rsidR="00CB1B98" w:rsidRDefault="00CB1B98"/>
    <w:p w:rsidR="00D73EB7" w:rsidRDefault="00D73EB7"/>
    <w:p w:rsidR="00D73EB7" w:rsidRDefault="00D73EB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D73EB7" w:rsidRPr="000D3DD7" w:rsidTr="00830E04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 xml:space="preserve">Автономное учреждение Ханты-Мансийского автономного округа – </w:t>
            </w:r>
            <w:proofErr w:type="spellStart"/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Югры</w:t>
            </w:r>
            <w:proofErr w:type="spellEnd"/>
          </w:p>
          <w:p w:rsidR="00D73EB7" w:rsidRPr="00A147D5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«Социально-оздоровительный центр «Сыновья»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Директор: Соловьева Ирина Сергеевна</w:t>
            </w:r>
          </w:p>
          <w:p w:rsidR="00D73EB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628415, Ханты-Мансийский автономный округ – Югра,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ургут, ул. Промышленная, дом 4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517-181, 8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52-33-31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2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Sinovya@dtsznhmao.ru</w:t>
              </w:r>
            </w:hyperlink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3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www.sinowija.ru</w:t>
              </w:r>
            </w:hyperlink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 граждане пожилого возраста (мужчины старше 60 лет и женщины старше 55 лет);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инвалиды старше 18 лет;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ветераны и инвалиды боевых </w:t>
            </w:r>
            <w:r w:rsidR="00FB5A9D">
              <w:rPr>
                <w:rFonts w:eastAsia="Times New Roman"/>
                <w:lang w:eastAsia="ru-RU"/>
              </w:rPr>
              <w:t>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ветеранов и инвалидов боевых 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погибших (умерших) военнослужащих и сотрудников правоохранительных органов.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приемно-консультативное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диагностики и разработки программ комплексной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социально-реабилитационное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социальной адаптации инвалидов;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разработка индивидуальных программ комплексной реабилитации клиентов, их корректировка и определение сроков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проведение социально-реабилитационных и адаптационных мероприятий, направленных на укрепление здоровья, повышение физической активности и нормализацию психического статуса;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lastRenderedPageBreak/>
              <w:t>содействие в протезировании гражданам с нарушениями опорно-двигательного аппарата;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предоставление консультаций по вопросам социального обслуживания населения и мерам социальной поддержки граждан;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организация  культурно-досуговых и анимационных мероприятий, экскурсий, выставок; занятий физической культурой и спортом, направленных на удовлетворение социокультурных и духовных запросов граждан.</w:t>
            </w:r>
          </w:p>
        </w:tc>
      </w:tr>
    </w:tbl>
    <w:p w:rsidR="00D73EB7" w:rsidRDefault="00D73EB7"/>
    <w:p w:rsidR="00FB5A9D" w:rsidRDefault="00FB5A9D"/>
    <w:p w:rsidR="00FB5A9D" w:rsidRDefault="00FB5A9D"/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0"/>
        <w:gridCol w:w="10772"/>
      </w:tblGrid>
      <w:tr w:rsidR="003921FC" w:rsidRPr="000D3DD7" w:rsidTr="00FB5A9D">
        <w:trPr>
          <w:trHeight w:val="5493"/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487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Казенное учреждение Ханты-Мансийского автономного округа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241487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«Комплексный социальный центр по оказанию помощи лицам</w:t>
            </w:r>
          </w:p>
          <w:p w:rsidR="003921FC" w:rsidRPr="00974FB9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без определенного места жительства «Альтернатива»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директор: Фуранов Олег Валерьевич</w:t>
            </w:r>
          </w:p>
          <w:p w:rsidR="003921FC" w:rsidRPr="00EF7728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628400, Сургутский район, строение 1, база «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Солкино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»,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дорога Сургут – Нефтеюганск 63 км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.,</w:t>
            </w:r>
            <w:proofErr w:type="gramEnd"/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/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ф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акс: 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76-53-66, 41-96-61,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Кедровый, ул.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Пионерная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 2,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ел. приёмной: 8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76-53-66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hyperlink r:id="rId14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Аlternativa@dtsznhmao.ru</w:t>
              </w:r>
            </w:hyperlink>
          </w:p>
          <w:p w:rsidR="003921FC" w:rsidRP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u w:val="single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5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www.ksc-alternativa.com.ru</w:t>
              </w:r>
            </w:hyperlink>
          </w:p>
        </w:tc>
      </w:tr>
      <w:tr w:rsidR="003921FC" w:rsidRPr="000D3DD7" w:rsidTr="00241487">
        <w:trPr>
          <w:trHeight w:val="2667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Категория обслуживаемых лиц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лица без определенного места жительства, занятий и средств существования, в том числе освободившиеся из мест лишения свободы или ранее судимые (старше 18 лет), в том числе: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-граждане пожилого возраста (женщины с 55 лет, мужчины с 60 лет) и инвалиды;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-лица, нуждающиеся в постоянном постороннем уходе из числа лиц без определенного места жительства и занятий.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стационарные отделения: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милосердия на 35 мест,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социальной адаптации на 126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полустационарное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ночного пребывания на 30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проживания, питания, мягкого инвентаря и др. социально-бытовых услуг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обеспечение ухода лицам, нуждающимся в постоянном постороннем уходе;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ночлега, санитарно-медицинской помощи, одноразового питания клиентам в условиях полустационара;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восстановлении социально-правового статуса клиентов;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мероприятий по медицинской, трудовой, психологической, социокультурной реабилитации, согласно индивидуальным планам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прохождении освидетельствования и переосвидетельствования на группу инвалидности;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оформлении пенсий, формировании пакета документов для определения клиентов на постоянное место.</w:t>
            </w:r>
          </w:p>
        </w:tc>
      </w:tr>
    </w:tbl>
    <w:p w:rsidR="003921FC" w:rsidRDefault="003921FC"/>
    <w:p w:rsidR="003921FC" w:rsidRDefault="003921FC"/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0773"/>
      </w:tblGrid>
      <w:tr w:rsidR="003921FC" w:rsidRPr="000D3DD7" w:rsidTr="003921FC">
        <w:trPr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 xml:space="preserve">Бюджетное учреждение Ханты-Мансийского автономного округа – </w:t>
            </w:r>
            <w:proofErr w:type="spellStart"/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Югры</w:t>
            </w:r>
            <w:proofErr w:type="spellEnd"/>
          </w:p>
          <w:p w:rsidR="003921FC" w:rsidRPr="00974FB9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«Центр социальной помощи семье и детям «Апрель»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директор: Черкашина Елена Леонидовна,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628450, Ханты-Ман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сийский автономный округ – Югра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Сургутский район, пгт. Барсово,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ул. Сосновый Бор, 34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74-02-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21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74-05-55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6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Aprel@dtsznhmao.ru</w:t>
              </w:r>
            </w:hyperlink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7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http://centr-aprel.ru/</w:t>
              </w:r>
            </w:hyperlink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Филиалы учреждения: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proofErr w:type="gramStart"/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г</w:t>
            </w:r>
            <w:proofErr w:type="gramEnd"/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.п. Федоровский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628456, Ханты-Мансийский автономный округ – Югра, Сургутский район,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.п. Федоровский, ул. Фёдорова, 3Б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proofErr w:type="gramStart"/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г</w:t>
            </w:r>
            <w:proofErr w:type="gramEnd"/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.п. </w:t>
            </w:r>
            <w:proofErr w:type="spellStart"/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628456, Ханты-Мансийский автономный округ – Югра, Сургутский район,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.п.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, ул. Салавата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Юлаева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, 3; 5 микрорайон, 3, офис 3.</w:t>
            </w:r>
          </w:p>
          <w:p w:rsidR="003921FC" w:rsidRPr="000D3DD7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5066">
        <w:trPr>
          <w:trHeight w:val="92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left="126" w:firstLine="123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 и отдельные граждане, попавшие в трудную жизненную ситуацию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сектор семейного устройства детей и сопровождения замещающих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lastRenderedPageBreak/>
              <w:t xml:space="preserve"> сектор 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кризисное отделение для граждан, находящихся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реабилитации несовершеннолетних с ограниченными физическими и умственными возможностями, стационарное отделение.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 xml:space="preserve">Филиал </w:t>
            </w:r>
            <w:proofErr w:type="gramStart"/>
            <w:r w:rsidRPr="00676828">
              <w:rPr>
                <w:rFonts w:eastAsia="Times New Roman"/>
                <w:b/>
                <w:u w:val="single"/>
                <w:lang w:eastAsia="ru-RU"/>
              </w:rPr>
              <w:t>г</w:t>
            </w:r>
            <w:proofErr w:type="gramEnd"/>
            <w:r w:rsidRPr="00676828">
              <w:rPr>
                <w:rFonts w:eastAsia="Times New Roman"/>
                <w:b/>
                <w:u w:val="single"/>
                <w:lang w:eastAsia="ru-RU"/>
              </w:rPr>
              <w:t>.п. Федоровский: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 xml:space="preserve">Филиал </w:t>
            </w:r>
            <w:proofErr w:type="gramStart"/>
            <w:r w:rsidRPr="00676828">
              <w:rPr>
                <w:rFonts w:eastAsia="Times New Roman"/>
                <w:b/>
                <w:u w:val="single"/>
                <w:lang w:eastAsia="ru-RU"/>
              </w:rPr>
              <w:t>г</w:t>
            </w:r>
            <w:proofErr w:type="gramEnd"/>
            <w:r w:rsidRPr="00676828">
              <w:rPr>
                <w:rFonts w:eastAsia="Times New Roman"/>
                <w:b/>
                <w:u w:val="single"/>
                <w:lang w:eastAsia="ru-RU"/>
              </w:rPr>
              <w:t xml:space="preserve">.п. </w:t>
            </w:r>
            <w:proofErr w:type="spellStart"/>
            <w:r w:rsidRPr="00676828">
              <w:rPr>
                <w:rFonts w:eastAsia="Times New Roman"/>
                <w:b/>
                <w:u w:val="single"/>
                <w:lang w:eastAsia="ru-RU"/>
              </w:rPr>
              <w:t>Лянтор</w:t>
            </w:r>
            <w:proofErr w:type="spellEnd"/>
            <w:r w:rsidRPr="00676828">
              <w:rPr>
                <w:rFonts w:eastAsia="Times New Roman"/>
                <w:b/>
                <w:u w:val="single"/>
                <w:lang w:eastAsia="ru-RU"/>
              </w:rPr>
              <w:t>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отделение реабилитации несовершеннолетних с ограниченными физическими и умственными возможностями, дневное пребывание-организация мероприятий, направленных на повышение квалификации персонала, 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стационара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lastRenderedPageBreak/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мероприятий, направленных на повышение квалификации персонала;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программ социального обслуживания несовершеннолетних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lastRenderedPageBreak/>
              <w:t>-содействие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здоровья.</w:t>
            </w:r>
          </w:p>
        </w:tc>
      </w:tr>
    </w:tbl>
    <w:p w:rsidR="003921FC" w:rsidRDefault="003921FC"/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Pr="000F163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«Реабилитационный центр для детей и подростков с ограниченными возможностями</w:t>
            </w:r>
          </w:p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«Добрый волшебник»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директор: Максимов Герман Михайлович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Ханты-Мансийский автономный округ – 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Сургут, ул. Бажова, дом 42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34-03-27,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(3462) 34-03-52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8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Volshebnik@dtsznhmao.ru</w:t>
              </w:r>
            </w:hyperlink>
          </w:p>
          <w:p w:rsidR="00241487" w:rsidRDefault="003921FC" w:rsidP="00241487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9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www.good-magician.atservers.net</w:t>
              </w:r>
            </w:hyperlink>
          </w:p>
          <w:p w:rsidR="00241487" w:rsidRPr="00241487" w:rsidRDefault="00241487" w:rsidP="00241487">
            <w:pPr>
              <w:spacing w:before="100" w:beforeAutospacing="1" w:after="100" w:afterAutospacing="1" w:line="180" w:lineRule="auto"/>
              <w:jc w:val="center"/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Дети–инвалиды и их семьи;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и подростки с ограниченными возможностями до 18 лет и их семьи.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диагностики, разработки и реализации программ медико-социальной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отделение социального патроната «Служба домашнего </w:t>
            </w:r>
            <w:proofErr w:type="spellStart"/>
            <w:r w:rsidRPr="00676828">
              <w:rPr>
                <w:rFonts w:eastAsia="Times New Roman"/>
                <w:lang w:eastAsia="ru-RU"/>
              </w:rPr>
              <w:t>визитирования</w:t>
            </w:r>
            <w:proofErr w:type="spellEnd"/>
            <w:r w:rsidRPr="00676828">
              <w:rPr>
                <w:rFonts w:eastAsia="Times New Roman"/>
                <w:lang w:eastAsia="ru-RU"/>
              </w:rPr>
              <w:t>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консультирование по вопросам, связанным с правом граждан на социальное обслуживание;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учёт несовершеннолетних и их семей, находящихся в трудной жизненной ситуации и нуждающихся в 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детей-инвалидов и несовершеннолетних с ограниченными возможностями по полустационарной форме обслуживания в условиях учреждения;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обслуживание детей-инвалидов на дому;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социокультурных мероприятий, посвящённых праздничным и памятным датам;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патронажа семей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</w:tbl>
    <w:p w:rsidR="003921FC" w:rsidRDefault="003921FC"/>
    <w:p w:rsidR="00241487" w:rsidRDefault="00241487"/>
    <w:p w:rsidR="00241487" w:rsidRDefault="00241487"/>
    <w:p w:rsidR="00241487" w:rsidRDefault="00241487"/>
    <w:p w:rsidR="00241487" w:rsidRDefault="00241487"/>
    <w:p w:rsidR="00241487" w:rsidRDefault="0024148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Ханты-Мансийского автономного округа – Югры</w:t>
            </w:r>
          </w:p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«Центр социальной помощи семье и детям «Зазеркалье»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директор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Баталина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Вера Семеновна</w:t>
            </w:r>
          </w:p>
          <w:p w:rsidR="00241487" w:rsidRPr="000D3DD7" w:rsidRDefault="003921FC" w:rsidP="00241487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 – Мансийский автономный округ –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Югра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, </w:t>
            </w:r>
            <w:r w:rsidR="00241487" w:rsidRPr="000D3DD7">
              <w:rPr>
                <w:rFonts w:eastAsia="Times New Roman"/>
                <w:sz w:val="32"/>
                <w:szCs w:val="32"/>
                <w:lang w:eastAsia="ru-RU"/>
              </w:rPr>
              <w:t>г. Сургут, ул. Лермонтова, 9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34-10-30,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34-10-33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20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zazerkalie@dtznhmao.ru</w:t>
              </w:r>
            </w:hyperlink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1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www.Zazerkalie86.su</w:t>
              </w:r>
            </w:hyperlink>
          </w:p>
          <w:p w:rsidR="00241487" w:rsidRPr="000D3DD7" w:rsidRDefault="00241487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и семьи, находящиеся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  беременные и  молодые матери с детьми от 0 до 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несовершеннолетние,  молодые люди  до 35 лет из семей, находящихся трудной жизненной ситуации  или в социально опасном положении;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кандидаты в замещающие родители, семьи и дети из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отдельные категории граждан.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консультативное отделение (участковая социальная служба);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семейного устройства детей и сопровождения замещающих родителей, 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социальной адаптации несовершеннолетних и молодежи;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помощи женщинам, оказавшимся в трудной жизненной ситуации;</w:t>
            </w:r>
          </w:p>
          <w:p w:rsidR="003921FC" w:rsidRPr="00241487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отделение.</w:t>
            </w:r>
          </w:p>
          <w:p w:rsidR="00241487" w:rsidRPr="00676828" w:rsidRDefault="00241487" w:rsidP="00241487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учет семей и детей, находящихся в трудной жизненной ситуации; 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помощь  семьям, детям, отдельным гражданам, находящимся в  социально опасном положении или иной трудной жизненной ситуации; социальный патронаж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приема населения на социальных участках города;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деятельности служб «Экстренная детская помощь», «Социальный патруль»;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подготовка кандидатов в замещающие родители;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сопровождение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социальная реабилитация и адаптация несовершеннолетних, молодежи и их семей, находящихся в социально опасном положении или иной  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реабилитация и адаптация детей  и подростков из семей, оказавшихся в трудной жизненной ситуации,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 женщин и  повышение уровня социализации несовершеннолетних беременных и молодых мам с предоставлением  временного проживания.</w:t>
            </w:r>
          </w:p>
        </w:tc>
      </w:tr>
    </w:tbl>
    <w:p w:rsidR="003921FC" w:rsidRDefault="003921FC"/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3921FC" w:rsidRPr="000D3DD7" w:rsidTr="003921FC">
        <w:trPr>
          <w:trHeight w:val="5509"/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Ханты-Мансийского автономного округа – Югры</w:t>
            </w:r>
            <w:r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A147D5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«Центр социального обслуживания населения «На Калинке»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директор: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Лепина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Наталья Владимировна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г. Сургут, ул.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,8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51-88-00,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51-88-01</w:t>
            </w:r>
          </w:p>
          <w:p w:rsidR="003921FC" w:rsidRPr="00974FB9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val="en-US" w:eastAsia="ru-RU"/>
              </w:rPr>
            </w:pPr>
            <w:r w:rsidRPr="00974FB9">
              <w:rPr>
                <w:rFonts w:eastAsia="Times New Roman"/>
                <w:sz w:val="32"/>
                <w:szCs w:val="32"/>
                <w:lang w:val="en-US" w:eastAsia="ru-RU"/>
              </w:rPr>
              <w:t xml:space="preserve">e-mail: </w:t>
            </w:r>
            <w:hyperlink r:id="rId22" w:history="1">
              <w:r w:rsidRPr="00974FB9">
                <w:rPr>
                  <w:rFonts w:eastAsia="Times New Roman"/>
                  <w:color w:val="0000FF"/>
                  <w:sz w:val="32"/>
                  <w:szCs w:val="32"/>
                  <w:u w:val="single"/>
                  <w:lang w:val="en-US" w:eastAsia="ru-RU"/>
                </w:rPr>
                <w:t>mail@nakalinke.ru</w:t>
              </w:r>
            </w:hyperlink>
            <w:r w:rsidRPr="00974FB9">
              <w:rPr>
                <w:rFonts w:eastAsia="Times New Roman"/>
                <w:sz w:val="32"/>
                <w:szCs w:val="32"/>
                <w:lang w:val="en-US" w:eastAsia="ru-RU"/>
              </w:rPr>
              <w:t>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3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www.nakalinke.ru</w:t>
              </w:r>
            </w:hyperlink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дети, граждане, находящиеся в трудной жизненной ситуации: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в возрасте от 3  до 10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– сироты  и дети, оставшиеся без попечения родителей, находящиеся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находящиеся  в трудной жизненной ситуации, проживающие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воспитывающиеся  в  семьях  опекунов, попечителей,  приемных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дети-инвалиды, дети с ограниченными возможностями здоровья в возрасте от 3 до 17 лет, в том числе имеющие противопоказания для санаторно-курортного лечения за пределами Ханты-Мансийского автономного округа – Югры, проживающие в семьях </w:t>
            </w:r>
            <w:r w:rsidRPr="00676828">
              <w:rPr>
                <w:rFonts w:eastAsia="Times New Roman"/>
                <w:lang w:eastAsia="ru-RU"/>
              </w:rPr>
              <w:lastRenderedPageBreak/>
              <w:t>граждан, в сопровождении одного из родителей (законных представителей) по путевочному принципу «Мать и дитя»;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замещающие  и многодетные семьи с детьми в возрасте от 3 до 17 лет, имеющие проблемы в детско-родительских отношениях, с обеспечением проживания в стационаре по путевочному принципу  «Мать и дитя»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Первое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социальных  услуг детям - сиротам  и детям, оставшимся без попечения родителей, находящимся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детям, находящимся  в трудной жизненной ситуации, проживающим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воспитывающимся в   семьях   опекунов, попечителей, приемных  родителей, проживающих в Ханты - Мансийском автономном.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Второе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детей-инвалидов, детей с ограниченными возможностями  здоровья в возрасте от 3 до 17 лет, в том числе, имеющих противопоказания для санаторно-курортного лечения за пределами Ханты-Мансийского автономного округа - Югры, проживающих на территории Ханты-Мансийского автономного округа – Югры в семьях граждан, в сопровождении одного из родителей (законных представителей) по путевочному принципу  «Мать и дитя».</w:t>
            </w:r>
          </w:p>
          <w:p w:rsidR="00EB1153" w:rsidRDefault="00EB1153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Третье отделения социальной реабилитации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комплекса социальных  психологических и реабилитационных мер, направленных на максимальную интеграцию в общество. И создание необходимых условий для личностного роста и социализации несовершеннолетних и родителей (законных представителей) из числа замещающих и многодетных семей с несовершеннолетними детьми в возрасте от 3 до 17 лет, имеющих проблемы в детско-родительских отношениях, с обеспечением проживания в стационаре по путёвочному принципу.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Приемно-консультативное отделение (в том числе перевозки несовершеннолетних);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ограничение жизнедеятельности, в соответствии с индивидуальной программой;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      </w:r>
          </w:p>
        </w:tc>
      </w:tr>
    </w:tbl>
    <w:p w:rsidR="00D73EB7" w:rsidRDefault="00D73EB7" w:rsidP="00241487"/>
    <w:sectPr w:rsidR="00D73EB7" w:rsidSect="00830E04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85"/>
    <w:multiLevelType w:val="hybridMultilevel"/>
    <w:tmpl w:val="5740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1F7"/>
    <w:multiLevelType w:val="hybridMultilevel"/>
    <w:tmpl w:val="B968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555"/>
    <w:multiLevelType w:val="hybridMultilevel"/>
    <w:tmpl w:val="3D880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111"/>
    <w:multiLevelType w:val="hybridMultilevel"/>
    <w:tmpl w:val="C3F2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C6E"/>
    <w:multiLevelType w:val="hybridMultilevel"/>
    <w:tmpl w:val="ADE0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30B8"/>
    <w:multiLevelType w:val="hybridMultilevel"/>
    <w:tmpl w:val="8AC4F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42E0A"/>
    <w:multiLevelType w:val="hybridMultilevel"/>
    <w:tmpl w:val="DA58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0CD0"/>
    <w:multiLevelType w:val="hybridMultilevel"/>
    <w:tmpl w:val="940E5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5B0F"/>
    <w:multiLevelType w:val="hybridMultilevel"/>
    <w:tmpl w:val="4828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A76"/>
    <w:multiLevelType w:val="hybridMultilevel"/>
    <w:tmpl w:val="C4EA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A4D92"/>
    <w:multiLevelType w:val="hybridMultilevel"/>
    <w:tmpl w:val="2EBC2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965"/>
    <w:multiLevelType w:val="hybridMultilevel"/>
    <w:tmpl w:val="2AFA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7475"/>
    <w:multiLevelType w:val="hybridMultilevel"/>
    <w:tmpl w:val="1A58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A87"/>
    <w:multiLevelType w:val="hybridMultilevel"/>
    <w:tmpl w:val="079AF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756"/>
    <w:multiLevelType w:val="hybridMultilevel"/>
    <w:tmpl w:val="EED8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21E83"/>
    <w:multiLevelType w:val="hybridMultilevel"/>
    <w:tmpl w:val="A34A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54A15"/>
    <w:multiLevelType w:val="hybridMultilevel"/>
    <w:tmpl w:val="A978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B2672"/>
    <w:multiLevelType w:val="hybridMultilevel"/>
    <w:tmpl w:val="2598A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0966"/>
    <w:multiLevelType w:val="hybridMultilevel"/>
    <w:tmpl w:val="85C0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63F2E"/>
    <w:multiLevelType w:val="hybridMultilevel"/>
    <w:tmpl w:val="1D4A0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B55"/>
    <w:multiLevelType w:val="hybridMultilevel"/>
    <w:tmpl w:val="C62E5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89A"/>
    <w:multiLevelType w:val="hybridMultilevel"/>
    <w:tmpl w:val="3592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24DF"/>
    <w:multiLevelType w:val="hybridMultilevel"/>
    <w:tmpl w:val="7DDE3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65F5"/>
    <w:multiLevelType w:val="hybridMultilevel"/>
    <w:tmpl w:val="7862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19B6"/>
    <w:multiLevelType w:val="hybridMultilevel"/>
    <w:tmpl w:val="1A9E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7AF2"/>
    <w:multiLevelType w:val="hybridMultilevel"/>
    <w:tmpl w:val="B106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34219"/>
    <w:multiLevelType w:val="hybridMultilevel"/>
    <w:tmpl w:val="16E80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17415"/>
    <w:multiLevelType w:val="hybridMultilevel"/>
    <w:tmpl w:val="2ACC2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26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6"/>
  </w:num>
  <w:num w:numId="23">
    <w:abstractNumId w:val="3"/>
  </w:num>
  <w:num w:numId="24">
    <w:abstractNumId w:val="21"/>
  </w:num>
  <w:num w:numId="25">
    <w:abstractNumId w:val="20"/>
  </w:num>
  <w:num w:numId="26">
    <w:abstractNumId w:val="27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41F6"/>
    <w:rsid w:val="001441F6"/>
    <w:rsid w:val="00241487"/>
    <w:rsid w:val="003921FC"/>
    <w:rsid w:val="00395066"/>
    <w:rsid w:val="003A109A"/>
    <w:rsid w:val="003E309C"/>
    <w:rsid w:val="00564C63"/>
    <w:rsid w:val="00676828"/>
    <w:rsid w:val="007136DB"/>
    <w:rsid w:val="007515F9"/>
    <w:rsid w:val="00830E04"/>
    <w:rsid w:val="00C1627C"/>
    <w:rsid w:val="00C61883"/>
    <w:rsid w:val="00CB1B98"/>
    <w:rsid w:val="00CF7EAA"/>
    <w:rsid w:val="00D73EB7"/>
    <w:rsid w:val="00D9572E"/>
    <w:rsid w:val="00EB1153"/>
    <w:rsid w:val="00FB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eistvie@dtsznhmao.ru" TargetMode="External"/><Relationship Id="rId13" Type="http://schemas.openxmlformats.org/officeDocument/2006/relationships/hyperlink" Target="http://www.sinowija.ru" TargetMode="External"/><Relationship Id="rId18" Type="http://schemas.openxmlformats.org/officeDocument/2006/relationships/hyperlink" Target="mailto:Volshebnik@dtsznhm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zerkalie86.su" TargetMode="External"/><Relationship Id="rId7" Type="http://schemas.openxmlformats.org/officeDocument/2006/relationships/hyperlink" Target="http://www.socslugba.ru" TargetMode="External"/><Relationship Id="rId12" Type="http://schemas.openxmlformats.org/officeDocument/2006/relationships/hyperlink" Target="mailto:Sinovya@dtsznhmao.ru" TargetMode="External"/><Relationship Id="rId17" Type="http://schemas.openxmlformats.org/officeDocument/2006/relationships/hyperlink" Target="http://centr-apre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prel@dtsznhmao.ru" TargetMode="External"/><Relationship Id="rId20" Type="http://schemas.openxmlformats.org/officeDocument/2006/relationships/hyperlink" Target="mailto:zazerkalie@dtznhma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SS@dtsznhmao.ru" TargetMode="External"/><Relationship Id="rId11" Type="http://schemas.openxmlformats.org/officeDocument/2006/relationships/hyperlink" Target="http://www.gerontologia.surgu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sc-alternativa.com.ru" TargetMode="External"/><Relationship Id="rId23" Type="http://schemas.openxmlformats.org/officeDocument/2006/relationships/hyperlink" Target="http://www.nakalinke.ru/" TargetMode="External"/><Relationship Id="rId10" Type="http://schemas.openxmlformats.org/officeDocument/2006/relationships/hyperlink" Target="mailto:Gerontologia@dtsznhmao.ru" TargetMode="External"/><Relationship Id="rId19" Type="http://schemas.openxmlformats.org/officeDocument/2006/relationships/hyperlink" Target="http://www.good-magician.atserver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deistvie86.ru" TargetMode="External"/><Relationship Id="rId14" Type="http://schemas.openxmlformats.org/officeDocument/2006/relationships/hyperlink" Target="mailto:%D0%90lternativa@dtsznhmao.ru" TargetMode="External"/><Relationship Id="rId22" Type="http://schemas.openxmlformats.org/officeDocument/2006/relationships/hyperlink" Target="mailto:mail@nakalink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E6F3-B2DE-47E5-A61A-41F91C7A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КрякинаОВ</cp:lastModifiedBy>
  <cp:revision>11</cp:revision>
  <dcterms:created xsi:type="dcterms:W3CDTF">2015-06-22T03:11:00Z</dcterms:created>
  <dcterms:modified xsi:type="dcterms:W3CDTF">2015-06-22T04:25:00Z</dcterms:modified>
</cp:coreProperties>
</file>